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BE" w:rsidRPr="001F3517" w:rsidRDefault="002E0D5B">
      <w:pPr>
        <w:rPr>
          <w:b/>
          <w:sz w:val="28"/>
          <w:szCs w:val="28"/>
        </w:rPr>
      </w:pPr>
      <w:r w:rsidRPr="001F3517">
        <w:rPr>
          <w:b/>
          <w:sz w:val="28"/>
          <w:szCs w:val="28"/>
        </w:rPr>
        <w:t>Economic Recovery Programs and Requirements</w:t>
      </w:r>
    </w:p>
    <w:p w:rsidR="002E0D5B" w:rsidRDefault="002E0D5B">
      <w:pPr>
        <w:rPr>
          <w:sz w:val="24"/>
          <w:szCs w:val="24"/>
        </w:rPr>
      </w:pPr>
    </w:p>
    <w:tbl>
      <w:tblPr>
        <w:tblStyle w:val="TableGrid"/>
        <w:tblW w:w="9918" w:type="dxa"/>
        <w:tblLook w:val="04A0" w:firstRow="1" w:lastRow="0" w:firstColumn="1" w:lastColumn="0" w:noHBand="0" w:noVBand="1"/>
      </w:tblPr>
      <w:tblGrid>
        <w:gridCol w:w="1475"/>
        <w:gridCol w:w="2233"/>
        <w:gridCol w:w="2970"/>
        <w:gridCol w:w="3240"/>
      </w:tblGrid>
      <w:tr w:rsidR="002E0D5B" w:rsidTr="009F5B52">
        <w:trPr>
          <w:tblHeader/>
        </w:trPr>
        <w:tc>
          <w:tcPr>
            <w:tcW w:w="1475" w:type="dxa"/>
            <w:shd w:val="clear" w:color="auto" w:fill="D9D9D9" w:themeFill="background1" w:themeFillShade="D9"/>
          </w:tcPr>
          <w:p w:rsidR="002E0D5B" w:rsidRPr="002E0D5B" w:rsidRDefault="002E0D5B" w:rsidP="002E0D5B">
            <w:pPr>
              <w:jc w:val="center"/>
              <w:rPr>
                <w:b/>
                <w:sz w:val="24"/>
                <w:szCs w:val="24"/>
              </w:rPr>
            </w:pPr>
          </w:p>
        </w:tc>
        <w:tc>
          <w:tcPr>
            <w:tcW w:w="2233" w:type="dxa"/>
            <w:shd w:val="clear" w:color="auto" w:fill="D9D9D9" w:themeFill="background1" w:themeFillShade="D9"/>
          </w:tcPr>
          <w:p w:rsidR="002E0D5B" w:rsidRPr="002E0D5B" w:rsidRDefault="002E0D5B" w:rsidP="002E0D5B">
            <w:pPr>
              <w:jc w:val="center"/>
              <w:rPr>
                <w:b/>
                <w:sz w:val="24"/>
                <w:szCs w:val="24"/>
              </w:rPr>
            </w:pPr>
            <w:r w:rsidRPr="002E0D5B">
              <w:rPr>
                <w:b/>
                <w:sz w:val="24"/>
                <w:szCs w:val="24"/>
              </w:rPr>
              <w:t>Watermen’s Grants</w:t>
            </w:r>
          </w:p>
        </w:tc>
        <w:tc>
          <w:tcPr>
            <w:tcW w:w="2970" w:type="dxa"/>
            <w:shd w:val="clear" w:color="auto" w:fill="D9D9D9" w:themeFill="background1" w:themeFillShade="D9"/>
          </w:tcPr>
          <w:p w:rsidR="002E0D5B" w:rsidRPr="002E0D5B" w:rsidRDefault="002E0D5B" w:rsidP="002E0D5B">
            <w:pPr>
              <w:jc w:val="center"/>
              <w:rPr>
                <w:b/>
                <w:sz w:val="24"/>
                <w:szCs w:val="24"/>
              </w:rPr>
            </w:pPr>
            <w:r w:rsidRPr="002E0D5B">
              <w:rPr>
                <w:b/>
                <w:sz w:val="24"/>
                <w:szCs w:val="24"/>
              </w:rPr>
              <w:t>Façade Grants</w:t>
            </w:r>
          </w:p>
        </w:tc>
        <w:tc>
          <w:tcPr>
            <w:tcW w:w="3240" w:type="dxa"/>
            <w:shd w:val="clear" w:color="auto" w:fill="D9D9D9" w:themeFill="background1" w:themeFillShade="D9"/>
          </w:tcPr>
          <w:p w:rsidR="002E0D5B" w:rsidRPr="002E0D5B" w:rsidRDefault="002E0D5B" w:rsidP="002E0D5B">
            <w:pPr>
              <w:jc w:val="center"/>
              <w:rPr>
                <w:b/>
                <w:sz w:val="24"/>
                <w:szCs w:val="24"/>
              </w:rPr>
            </w:pPr>
            <w:r w:rsidRPr="002E0D5B">
              <w:rPr>
                <w:b/>
                <w:sz w:val="24"/>
                <w:szCs w:val="24"/>
              </w:rPr>
              <w:t>Business Loans</w:t>
            </w:r>
          </w:p>
        </w:tc>
      </w:tr>
      <w:tr w:rsidR="002E0D5B" w:rsidTr="009F5B52">
        <w:tc>
          <w:tcPr>
            <w:tcW w:w="1475" w:type="dxa"/>
          </w:tcPr>
          <w:p w:rsidR="002E0D5B" w:rsidRPr="009F5B52" w:rsidRDefault="002E0D5B">
            <w:pPr>
              <w:rPr>
                <w:i/>
              </w:rPr>
            </w:pPr>
            <w:r w:rsidRPr="009F5B52">
              <w:rPr>
                <w:i/>
              </w:rPr>
              <w:t>Purpose</w:t>
            </w:r>
          </w:p>
        </w:tc>
        <w:tc>
          <w:tcPr>
            <w:tcW w:w="2233" w:type="dxa"/>
          </w:tcPr>
          <w:p w:rsidR="002E0D5B" w:rsidRPr="00B41165" w:rsidRDefault="002E0D5B">
            <w:r w:rsidRPr="00B41165">
              <w:t>Grants for proven equipment loss</w:t>
            </w:r>
          </w:p>
        </w:tc>
        <w:tc>
          <w:tcPr>
            <w:tcW w:w="2970" w:type="dxa"/>
          </w:tcPr>
          <w:p w:rsidR="002E0D5B" w:rsidRPr="00B41165" w:rsidRDefault="002E0D5B">
            <w:r w:rsidRPr="00B41165">
              <w:t>Grants for improvements to facades of businesses</w:t>
            </w:r>
          </w:p>
        </w:tc>
        <w:tc>
          <w:tcPr>
            <w:tcW w:w="3240" w:type="dxa"/>
          </w:tcPr>
          <w:p w:rsidR="009F5B52" w:rsidRPr="00B41165" w:rsidRDefault="00585F8D">
            <w:r w:rsidRPr="00B41165">
              <w:t>Loans for working capital</w:t>
            </w:r>
            <w:r w:rsidR="00961CDF">
              <w:t>, inventory, equipment</w:t>
            </w:r>
            <w:r w:rsidRPr="00B41165">
              <w:t xml:space="preserve"> and/or </w:t>
            </w:r>
            <w:r w:rsidR="002E0D5B" w:rsidRPr="00B41165">
              <w:t>construction</w:t>
            </w:r>
          </w:p>
        </w:tc>
      </w:tr>
      <w:tr w:rsidR="002E0D5B" w:rsidTr="009F5B52">
        <w:tc>
          <w:tcPr>
            <w:tcW w:w="1475" w:type="dxa"/>
          </w:tcPr>
          <w:p w:rsidR="002E0D5B" w:rsidRPr="009F5B52" w:rsidRDefault="002E0D5B">
            <w:pPr>
              <w:rPr>
                <w:i/>
              </w:rPr>
            </w:pPr>
            <w:r w:rsidRPr="009F5B52">
              <w:rPr>
                <w:i/>
              </w:rPr>
              <w:t>Amounts</w:t>
            </w:r>
          </w:p>
        </w:tc>
        <w:tc>
          <w:tcPr>
            <w:tcW w:w="2233" w:type="dxa"/>
          </w:tcPr>
          <w:p w:rsidR="002E0D5B" w:rsidRPr="00B41165" w:rsidRDefault="00585F8D">
            <w:r w:rsidRPr="00B41165">
              <w:t>Up to $2,500</w:t>
            </w:r>
          </w:p>
        </w:tc>
        <w:tc>
          <w:tcPr>
            <w:tcW w:w="2970" w:type="dxa"/>
          </w:tcPr>
          <w:p w:rsidR="002E0D5B" w:rsidRPr="00B41165" w:rsidRDefault="00585F8D">
            <w:r w:rsidRPr="00B41165">
              <w:t>Up to $5,000</w:t>
            </w:r>
          </w:p>
        </w:tc>
        <w:tc>
          <w:tcPr>
            <w:tcW w:w="3240" w:type="dxa"/>
          </w:tcPr>
          <w:p w:rsidR="009F5B52" w:rsidRDefault="00961CDF" w:rsidP="00EB45E4">
            <w:r>
              <w:t>Up</w:t>
            </w:r>
            <w:r w:rsidR="00585F8D" w:rsidRPr="00B41165">
              <w:t xml:space="preserve"> </w:t>
            </w:r>
            <w:r w:rsidR="00EB45E4" w:rsidRPr="00B41165">
              <w:t>to</w:t>
            </w:r>
            <w:r w:rsidR="00585F8D" w:rsidRPr="00B41165">
              <w:t xml:space="preserve"> $60,000</w:t>
            </w:r>
          </w:p>
          <w:p w:rsidR="009F5B52" w:rsidRPr="00B41165" w:rsidRDefault="009F5B52" w:rsidP="00EB45E4"/>
        </w:tc>
      </w:tr>
      <w:tr w:rsidR="002E0D5B" w:rsidTr="009F5B52">
        <w:tc>
          <w:tcPr>
            <w:tcW w:w="1475" w:type="dxa"/>
          </w:tcPr>
          <w:p w:rsidR="002E0D5B" w:rsidRPr="009F5B52" w:rsidRDefault="002E0D5B">
            <w:pPr>
              <w:rPr>
                <w:i/>
              </w:rPr>
            </w:pPr>
            <w:r w:rsidRPr="009F5B52">
              <w:rPr>
                <w:i/>
              </w:rPr>
              <w:t>Qualifications</w:t>
            </w:r>
          </w:p>
        </w:tc>
        <w:tc>
          <w:tcPr>
            <w:tcW w:w="2233" w:type="dxa"/>
          </w:tcPr>
          <w:p w:rsidR="002E0D5B" w:rsidRPr="00B41165" w:rsidRDefault="00585F8D" w:rsidP="00585F8D">
            <w:r w:rsidRPr="00B41165">
              <w:t>-</w:t>
            </w:r>
            <w:r w:rsidR="00057379">
              <w:t xml:space="preserve"> </w:t>
            </w:r>
            <w:r w:rsidRPr="00B41165">
              <w:t>Must have commercial fishing licenses</w:t>
            </w:r>
          </w:p>
          <w:p w:rsidR="00585F8D" w:rsidRPr="00B41165" w:rsidRDefault="00585F8D" w:rsidP="00585F8D">
            <w:r w:rsidRPr="00B41165">
              <w:t>-</w:t>
            </w:r>
            <w:r w:rsidR="00057379">
              <w:t xml:space="preserve"> </w:t>
            </w:r>
            <w:r w:rsidRPr="00B41165">
              <w:t>Sole proprietor business only</w:t>
            </w:r>
          </w:p>
          <w:p w:rsidR="00585F8D" w:rsidRDefault="00585F8D" w:rsidP="00585F8D">
            <w:r w:rsidRPr="00B41165">
              <w:t>-</w:t>
            </w:r>
            <w:r w:rsidR="00057379">
              <w:t xml:space="preserve"> </w:t>
            </w:r>
            <w:r w:rsidRPr="00B41165">
              <w:t>Total household income cannot exceed 80% of area median income</w:t>
            </w:r>
          </w:p>
          <w:p w:rsidR="00E3423C" w:rsidRPr="00B41165" w:rsidRDefault="00E3423C" w:rsidP="00585F8D">
            <w:r>
              <w:t>- Must provide personal tax returns for previous year</w:t>
            </w:r>
          </w:p>
          <w:p w:rsidR="00585F8D" w:rsidRPr="00B41165" w:rsidRDefault="00585F8D" w:rsidP="00585F8D">
            <w:r w:rsidRPr="00B41165">
              <w:t>-</w:t>
            </w:r>
            <w:r w:rsidR="00057379">
              <w:t xml:space="preserve"> </w:t>
            </w:r>
            <w:r w:rsidRPr="00B41165">
              <w:t xml:space="preserve">Must be able to document loss with receipts, photographs, </w:t>
            </w:r>
            <w:r w:rsidR="00EB45E4" w:rsidRPr="00B41165">
              <w:t>or other acceptable evidence</w:t>
            </w:r>
          </w:p>
        </w:tc>
        <w:tc>
          <w:tcPr>
            <w:tcW w:w="2970" w:type="dxa"/>
          </w:tcPr>
          <w:p w:rsidR="00EB45E4" w:rsidRPr="00B41165" w:rsidRDefault="00EB45E4" w:rsidP="00057379">
            <w:r w:rsidRPr="00B41165">
              <w:t>-Must meet SBA definition of a small business</w:t>
            </w:r>
          </w:p>
          <w:p w:rsidR="00EB45E4" w:rsidRPr="00B41165" w:rsidRDefault="00EB45E4" w:rsidP="00057379">
            <w:r w:rsidRPr="00B41165">
              <w:t>-</w:t>
            </w:r>
            <w:r w:rsidR="00057379">
              <w:t xml:space="preserve"> </w:t>
            </w:r>
            <w:r w:rsidRPr="00B41165">
              <w:t>Must match grant funds with amount received</w:t>
            </w:r>
            <w:r w:rsidR="00961CDF">
              <w:t xml:space="preserve"> </w:t>
            </w:r>
            <w:r w:rsidRPr="00B41165">
              <w:t xml:space="preserve">which </w:t>
            </w:r>
            <w:r w:rsidR="009F5B52">
              <w:t>will be or has been</w:t>
            </w:r>
            <w:r w:rsidRPr="00B41165">
              <w:t xml:space="preserve"> invested in building and/or business</w:t>
            </w:r>
          </w:p>
          <w:p w:rsidR="00EB45E4" w:rsidRPr="00B41165" w:rsidRDefault="00EB45E4" w:rsidP="00057379">
            <w:r w:rsidRPr="00B41165">
              <w:t>-</w:t>
            </w:r>
            <w:r w:rsidR="00057379">
              <w:t xml:space="preserve"> </w:t>
            </w:r>
            <w:r w:rsidRPr="00B41165">
              <w:t>Can qualify as sole proprietor business if total household income is less than 80% of the area median income</w:t>
            </w:r>
          </w:p>
          <w:p w:rsidR="00EB45E4" w:rsidRPr="00B41165" w:rsidRDefault="00EB45E4" w:rsidP="00057379">
            <w:pPr>
              <w:widowControl w:val="0"/>
            </w:pPr>
            <w:r w:rsidRPr="00B41165">
              <w:t>-</w:t>
            </w:r>
            <w:r w:rsidR="00057379">
              <w:t xml:space="preserve"> </w:t>
            </w:r>
            <w:r w:rsidRPr="00B41165">
              <w:t xml:space="preserve">Can qualify based on creation of new jobs if 51% of new employees are paid an annual salary which is at or below the HUD established </w:t>
            </w:r>
            <w:r w:rsidR="009F5B52">
              <w:t xml:space="preserve">income </w:t>
            </w:r>
            <w:r w:rsidRPr="00B41165">
              <w:t>limit for a one person family</w:t>
            </w:r>
          </w:p>
          <w:p w:rsidR="006F7E0A" w:rsidRPr="00B41165" w:rsidRDefault="00EB45E4" w:rsidP="00057379">
            <w:pPr>
              <w:widowControl w:val="0"/>
            </w:pPr>
            <w:r w:rsidRPr="00B41165">
              <w:t>-</w:t>
            </w:r>
            <w:r w:rsidR="00057379">
              <w:t xml:space="preserve"> </w:t>
            </w:r>
            <w:r w:rsidRPr="00B41165">
              <w:t xml:space="preserve">Can qualify based on retention of existing jobs if 51% of employees are paid an annual salary which is at or below the HUD established </w:t>
            </w:r>
            <w:r w:rsidR="009F5B52">
              <w:t xml:space="preserve">income </w:t>
            </w:r>
            <w:r w:rsidRPr="00B41165">
              <w:t>limit for a one person family</w:t>
            </w:r>
          </w:p>
          <w:p w:rsidR="00EB45E4" w:rsidRPr="00B41165" w:rsidRDefault="00EB45E4"/>
        </w:tc>
        <w:tc>
          <w:tcPr>
            <w:tcW w:w="3240" w:type="dxa"/>
          </w:tcPr>
          <w:p w:rsidR="00EB45E4" w:rsidRPr="00B41165" w:rsidRDefault="00EB45E4" w:rsidP="00057379">
            <w:r w:rsidRPr="00B41165">
              <w:t>-</w:t>
            </w:r>
            <w:r w:rsidR="00057379">
              <w:t xml:space="preserve"> </w:t>
            </w:r>
            <w:r w:rsidRPr="00B41165">
              <w:t>Must meet SBA</w:t>
            </w:r>
            <w:r w:rsidR="00057379">
              <w:t xml:space="preserve"> definition of a small business</w:t>
            </w:r>
          </w:p>
          <w:p w:rsidR="00EB45E4" w:rsidRPr="00B41165" w:rsidRDefault="00EB45E4" w:rsidP="00057379">
            <w:r w:rsidRPr="00B41165">
              <w:t>-</w:t>
            </w:r>
            <w:r w:rsidR="00057379">
              <w:t xml:space="preserve"> </w:t>
            </w:r>
            <w:r w:rsidRPr="00B41165">
              <w:t>Can qualify as sole proprietor business if total household income is less than 80% of the area median income</w:t>
            </w:r>
          </w:p>
          <w:p w:rsidR="00EB45E4" w:rsidRPr="00B41165" w:rsidRDefault="00EB45E4" w:rsidP="00057379">
            <w:pPr>
              <w:widowControl w:val="0"/>
            </w:pPr>
            <w:r w:rsidRPr="00B41165">
              <w:t>-</w:t>
            </w:r>
            <w:r w:rsidR="00057379">
              <w:t xml:space="preserve"> </w:t>
            </w:r>
            <w:r w:rsidRPr="00B41165">
              <w:t xml:space="preserve">Can qualify based on creation of new jobs if 51% of new employees are paid an annual salary which is at or below the HUD established </w:t>
            </w:r>
            <w:r w:rsidR="009F5B52">
              <w:t xml:space="preserve">income </w:t>
            </w:r>
            <w:r w:rsidRPr="00B41165">
              <w:t>limit for a one person family</w:t>
            </w:r>
          </w:p>
          <w:p w:rsidR="00EB45E4" w:rsidRPr="00B41165" w:rsidRDefault="00EB45E4" w:rsidP="00057379">
            <w:pPr>
              <w:widowControl w:val="0"/>
            </w:pPr>
            <w:r w:rsidRPr="00B41165">
              <w:t>-</w:t>
            </w:r>
            <w:r w:rsidR="00057379">
              <w:t xml:space="preserve"> </w:t>
            </w:r>
            <w:r w:rsidRPr="00B41165">
              <w:t xml:space="preserve">Can qualify based on retention of existing jobs if 51% of employees are paid an annual salary which is at or below the HUD established </w:t>
            </w:r>
            <w:r w:rsidR="009F5B52">
              <w:t xml:space="preserve">income </w:t>
            </w:r>
            <w:r w:rsidRPr="00B41165">
              <w:t>limit for a one person family</w:t>
            </w:r>
          </w:p>
          <w:p w:rsidR="002E0D5B" w:rsidRPr="00B41165" w:rsidRDefault="002E0D5B"/>
        </w:tc>
      </w:tr>
      <w:tr w:rsidR="002E0D5B" w:rsidTr="009F5B52">
        <w:tc>
          <w:tcPr>
            <w:tcW w:w="1475" w:type="dxa"/>
          </w:tcPr>
          <w:p w:rsidR="002E0D5B" w:rsidRPr="009F5B52" w:rsidRDefault="001F3517">
            <w:pPr>
              <w:rPr>
                <w:i/>
              </w:rPr>
            </w:pPr>
            <w:r w:rsidRPr="009F5B52">
              <w:rPr>
                <w:i/>
              </w:rPr>
              <w:t>Procurement</w:t>
            </w:r>
          </w:p>
        </w:tc>
        <w:tc>
          <w:tcPr>
            <w:tcW w:w="2233" w:type="dxa"/>
          </w:tcPr>
          <w:p w:rsidR="002E0D5B" w:rsidRPr="00B41165" w:rsidRDefault="001F3517">
            <w:r w:rsidRPr="00B41165">
              <w:t>N/A</w:t>
            </w:r>
          </w:p>
        </w:tc>
        <w:tc>
          <w:tcPr>
            <w:tcW w:w="2970" w:type="dxa"/>
          </w:tcPr>
          <w:p w:rsidR="002E0D5B" w:rsidRPr="00B41165" w:rsidRDefault="00862429">
            <w:r w:rsidRPr="00B41165">
              <w:t>-</w:t>
            </w:r>
            <w:r w:rsidR="00057379">
              <w:t xml:space="preserve"> </w:t>
            </w:r>
            <w:r w:rsidRPr="00B41165">
              <w:t>Must obtain at least 3 estimates for work to be performed by contractors</w:t>
            </w:r>
          </w:p>
          <w:p w:rsidR="00862429" w:rsidRPr="00B41165" w:rsidRDefault="00862429" w:rsidP="00862429">
            <w:r w:rsidRPr="00B41165">
              <w:t>-</w:t>
            </w:r>
            <w:r w:rsidR="00057379">
              <w:t xml:space="preserve"> </w:t>
            </w:r>
            <w:r w:rsidRPr="00B41165">
              <w:t>May use funding for supplies and materials and perform own work</w:t>
            </w:r>
          </w:p>
          <w:p w:rsidR="00862429" w:rsidRPr="00B41165" w:rsidRDefault="00862429" w:rsidP="00961CDF">
            <w:r w:rsidRPr="00B41165">
              <w:t>-</w:t>
            </w:r>
            <w:r w:rsidR="00057379">
              <w:t xml:space="preserve"> </w:t>
            </w:r>
            <w:r w:rsidRPr="00B41165">
              <w:t xml:space="preserve">Must obtain at least 3 estimates for supplies and materials if </w:t>
            </w:r>
            <w:r w:rsidRPr="00961CDF">
              <w:t>over $</w:t>
            </w:r>
            <w:r w:rsidR="00961CDF">
              <w:t>5,000</w:t>
            </w:r>
          </w:p>
        </w:tc>
        <w:tc>
          <w:tcPr>
            <w:tcW w:w="3240" w:type="dxa"/>
          </w:tcPr>
          <w:p w:rsidR="00862429" w:rsidRPr="00B41165" w:rsidRDefault="00862429" w:rsidP="00862429">
            <w:r w:rsidRPr="00B41165">
              <w:t>-</w:t>
            </w:r>
            <w:r w:rsidR="00057379">
              <w:t xml:space="preserve"> </w:t>
            </w:r>
            <w:r w:rsidRPr="00B41165">
              <w:t>Must obtain at least 3 estimates for work to be performed by contractors</w:t>
            </w:r>
          </w:p>
          <w:p w:rsidR="00862429" w:rsidRPr="00B41165" w:rsidRDefault="00862429" w:rsidP="00862429">
            <w:r w:rsidRPr="00B41165">
              <w:t>-</w:t>
            </w:r>
            <w:r w:rsidR="00057379">
              <w:t xml:space="preserve"> </w:t>
            </w:r>
            <w:r w:rsidRPr="00B41165">
              <w:t>May use funding for supplies and materials and perform own work</w:t>
            </w:r>
          </w:p>
          <w:p w:rsidR="002E0D5B" w:rsidRDefault="00862429" w:rsidP="00862429">
            <w:r w:rsidRPr="00B41165">
              <w:t>-</w:t>
            </w:r>
            <w:r w:rsidR="00057379">
              <w:t xml:space="preserve"> </w:t>
            </w:r>
            <w:r w:rsidRPr="00B41165">
              <w:t xml:space="preserve">Must obtain at least 3 estimates for supplies and materials if over </w:t>
            </w:r>
            <w:r w:rsidRPr="00961CDF">
              <w:t>$</w:t>
            </w:r>
            <w:r w:rsidR="00961CDF">
              <w:t>5,000</w:t>
            </w:r>
          </w:p>
          <w:p w:rsidR="00057379" w:rsidRPr="00B41165" w:rsidRDefault="00057379" w:rsidP="00862429"/>
        </w:tc>
      </w:tr>
      <w:tr w:rsidR="002E0D5B" w:rsidTr="009F5B52">
        <w:tc>
          <w:tcPr>
            <w:tcW w:w="1475" w:type="dxa"/>
          </w:tcPr>
          <w:p w:rsidR="002E0D5B" w:rsidRPr="009F5B52" w:rsidRDefault="00862429">
            <w:pPr>
              <w:rPr>
                <w:i/>
              </w:rPr>
            </w:pPr>
            <w:r w:rsidRPr="009F5B52">
              <w:rPr>
                <w:i/>
              </w:rPr>
              <w:t>Federal Labor Requirements</w:t>
            </w:r>
          </w:p>
        </w:tc>
        <w:tc>
          <w:tcPr>
            <w:tcW w:w="2233" w:type="dxa"/>
          </w:tcPr>
          <w:p w:rsidR="002E0D5B" w:rsidRPr="00B41165" w:rsidRDefault="00862429">
            <w:r w:rsidRPr="00B41165">
              <w:t>N/A</w:t>
            </w:r>
          </w:p>
        </w:tc>
        <w:tc>
          <w:tcPr>
            <w:tcW w:w="2970" w:type="dxa"/>
          </w:tcPr>
          <w:p w:rsidR="002E0D5B" w:rsidRPr="00B41165" w:rsidRDefault="00862429">
            <w:r w:rsidRPr="00B41165">
              <w:t>-</w:t>
            </w:r>
            <w:r w:rsidR="00057379">
              <w:t xml:space="preserve"> </w:t>
            </w:r>
            <w:r w:rsidRPr="00B41165">
              <w:t>Applies to all construction contracts over $2,000</w:t>
            </w:r>
          </w:p>
          <w:p w:rsidR="00862429" w:rsidRPr="00B41165" w:rsidRDefault="00862429" w:rsidP="00862429">
            <w:r w:rsidRPr="00B41165">
              <w:t>-</w:t>
            </w:r>
            <w:r w:rsidR="00057379">
              <w:t xml:space="preserve"> </w:t>
            </w:r>
            <w:r w:rsidRPr="00B41165">
              <w:t>Requires contractors to pay employees a specific wage rate per labor classification</w:t>
            </w:r>
          </w:p>
        </w:tc>
        <w:tc>
          <w:tcPr>
            <w:tcW w:w="3240" w:type="dxa"/>
          </w:tcPr>
          <w:p w:rsidR="00862429" w:rsidRPr="00B41165" w:rsidRDefault="00862429" w:rsidP="00862429">
            <w:r w:rsidRPr="00B41165">
              <w:t>-</w:t>
            </w:r>
            <w:r w:rsidR="00057379">
              <w:t xml:space="preserve"> </w:t>
            </w:r>
            <w:r w:rsidRPr="00B41165">
              <w:t>Applies to all construction contracts over $2,000</w:t>
            </w:r>
          </w:p>
          <w:p w:rsidR="00057379" w:rsidRDefault="00862429" w:rsidP="00862429">
            <w:r w:rsidRPr="00B41165">
              <w:t>-</w:t>
            </w:r>
            <w:r w:rsidR="00057379">
              <w:t xml:space="preserve"> </w:t>
            </w:r>
            <w:r w:rsidRPr="00B41165">
              <w:t>Requires contractors to pay employees a specific wage rate per labor classification</w:t>
            </w:r>
          </w:p>
          <w:p w:rsidR="00961CDF" w:rsidRPr="00B41165" w:rsidRDefault="00961CDF" w:rsidP="00862429"/>
        </w:tc>
      </w:tr>
      <w:tr w:rsidR="002E0D5B" w:rsidTr="009F5B52">
        <w:tc>
          <w:tcPr>
            <w:tcW w:w="1475" w:type="dxa"/>
          </w:tcPr>
          <w:p w:rsidR="002E0D5B" w:rsidRPr="009F5B52" w:rsidRDefault="00B41165">
            <w:pPr>
              <w:rPr>
                <w:i/>
              </w:rPr>
            </w:pPr>
            <w:r w:rsidRPr="009F5B52">
              <w:rPr>
                <w:i/>
              </w:rPr>
              <w:t>Flood Insurance</w:t>
            </w:r>
          </w:p>
        </w:tc>
        <w:tc>
          <w:tcPr>
            <w:tcW w:w="2233" w:type="dxa"/>
          </w:tcPr>
          <w:p w:rsidR="002E0D5B" w:rsidRPr="00B41165" w:rsidRDefault="00B41165">
            <w:r w:rsidRPr="00B41165">
              <w:t>N/A</w:t>
            </w:r>
          </w:p>
        </w:tc>
        <w:tc>
          <w:tcPr>
            <w:tcW w:w="2970" w:type="dxa"/>
          </w:tcPr>
          <w:p w:rsidR="002E0D5B" w:rsidRPr="00B41165" w:rsidRDefault="00FE35FB" w:rsidP="00FE35FB">
            <w:r>
              <w:t>If in floodplain, re</w:t>
            </w:r>
            <w:r w:rsidR="00B41165">
              <w:t>quired for amount of assistance for specified term</w:t>
            </w:r>
            <w:r w:rsidR="00961CDF">
              <w:t xml:space="preserve"> if assistance physically alters the building</w:t>
            </w:r>
          </w:p>
        </w:tc>
        <w:tc>
          <w:tcPr>
            <w:tcW w:w="3240" w:type="dxa"/>
          </w:tcPr>
          <w:p w:rsidR="00057379" w:rsidRDefault="00FE35FB">
            <w:r>
              <w:t>If in floodplain, r</w:t>
            </w:r>
            <w:r w:rsidR="00B41165" w:rsidRPr="00B41165">
              <w:t>equired for amount of assistance for term of loan</w:t>
            </w:r>
            <w:r w:rsidR="00B41165">
              <w:t xml:space="preserve"> if funding used for construction</w:t>
            </w:r>
            <w:r w:rsidR="00961CDF">
              <w:t xml:space="preserve"> and physically alters the building</w:t>
            </w:r>
          </w:p>
          <w:p w:rsidR="009F5B52" w:rsidRPr="00FE35FB" w:rsidRDefault="009F5B52"/>
        </w:tc>
      </w:tr>
      <w:tr w:rsidR="002E0D5B" w:rsidTr="009F5B52">
        <w:tc>
          <w:tcPr>
            <w:tcW w:w="1475" w:type="dxa"/>
          </w:tcPr>
          <w:p w:rsidR="002E0D5B" w:rsidRPr="009F5B52" w:rsidRDefault="00B41165">
            <w:pPr>
              <w:rPr>
                <w:i/>
              </w:rPr>
            </w:pPr>
            <w:r w:rsidRPr="009F5B52">
              <w:rPr>
                <w:i/>
              </w:rPr>
              <w:t>Maryland Historical Trust Approval</w:t>
            </w:r>
          </w:p>
        </w:tc>
        <w:tc>
          <w:tcPr>
            <w:tcW w:w="2233" w:type="dxa"/>
          </w:tcPr>
          <w:p w:rsidR="002E0D5B" w:rsidRPr="00057379" w:rsidRDefault="00057379">
            <w:r w:rsidRPr="00057379">
              <w:t>N/A</w:t>
            </w:r>
          </w:p>
        </w:tc>
        <w:tc>
          <w:tcPr>
            <w:tcW w:w="2970" w:type="dxa"/>
          </w:tcPr>
          <w:p w:rsidR="002E0D5B" w:rsidRDefault="00057379" w:rsidP="00057379">
            <w:r w:rsidRPr="00057379">
              <w:t>-</w:t>
            </w:r>
            <w:r>
              <w:t xml:space="preserve"> </w:t>
            </w:r>
            <w:r w:rsidRPr="00057379">
              <w:t>Must submit work write-ups</w:t>
            </w:r>
            <w:r>
              <w:t xml:space="preserve"> / </w:t>
            </w:r>
            <w:r w:rsidRPr="00057379">
              <w:t>plans and photographs</w:t>
            </w:r>
            <w:r>
              <w:t xml:space="preserve"> for physical alterations to building</w:t>
            </w:r>
          </w:p>
          <w:p w:rsidR="00057379" w:rsidRPr="00057379" w:rsidRDefault="00057379" w:rsidP="00057379">
            <w:r>
              <w:t>- Not required for painting or signage</w:t>
            </w:r>
          </w:p>
        </w:tc>
        <w:tc>
          <w:tcPr>
            <w:tcW w:w="3240" w:type="dxa"/>
          </w:tcPr>
          <w:p w:rsidR="00057379" w:rsidRDefault="00057379" w:rsidP="00057379">
            <w:r>
              <w:t>- Must submit work write-ups / plans and photographs for physical alterations to building</w:t>
            </w:r>
          </w:p>
          <w:p w:rsidR="002E0D5B" w:rsidRDefault="00057379" w:rsidP="00057379">
            <w:r>
              <w:t>- Not required for painting or cosmetic improvements</w:t>
            </w:r>
          </w:p>
          <w:p w:rsidR="009F5B52" w:rsidRPr="00057379" w:rsidRDefault="009F5B52" w:rsidP="00057379"/>
        </w:tc>
      </w:tr>
      <w:tr w:rsidR="00B41165" w:rsidTr="009F5B52">
        <w:tc>
          <w:tcPr>
            <w:tcW w:w="1475" w:type="dxa"/>
          </w:tcPr>
          <w:p w:rsidR="00B41165" w:rsidRPr="009F5B52" w:rsidRDefault="00C47720">
            <w:pPr>
              <w:rPr>
                <w:i/>
              </w:rPr>
            </w:pPr>
            <w:r w:rsidRPr="009F5B52">
              <w:rPr>
                <w:i/>
              </w:rPr>
              <w:t>Job Creation or Retention Period</w:t>
            </w:r>
          </w:p>
        </w:tc>
        <w:tc>
          <w:tcPr>
            <w:tcW w:w="2233" w:type="dxa"/>
          </w:tcPr>
          <w:p w:rsidR="00B41165" w:rsidRPr="00C47720" w:rsidRDefault="00C47720">
            <w:r w:rsidRPr="00C47720">
              <w:t>N/A</w:t>
            </w:r>
          </w:p>
        </w:tc>
        <w:tc>
          <w:tcPr>
            <w:tcW w:w="2970" w:type="dxa"/>
          </w:tcPr>
          <w:p w:rsidR="00B41165" w:rsidRDefault="00C47720">
            <w:r>
              <w:rPr>
                <w:sz w:val="24"/>
                <w:szCs w:val="24"/>
              </w:rPr>
              <w:t xml:space="preserve">- </w:t>
            </w:r>
            <w:r w:rsidRPr="00C47720">
              <w:t>Sole</w:t>
            </w:r>
            <w:r>
              <w:rPr>
                <w:sz w:val="24"/>
                <w:szCs w:val="24"/>
              </w:rPr>
              <w:t xml:space="preserve"> </w:t>
            </w:r>
            <w:r>
              <w:t xml:space="preserve">proprietor business must remain in operation for </w:t>
            </w:r>
            <w:r w:rsidR="00191FD8">
              <w:t>1</w:t>
            </w:r>
            <w:r>
              <w:t xml:space="preserve"> year</w:t>
            </w:r>
          </w:p>
          <w:p w:rsidR="00C47720" w:rsidRPr="00C47720" w:rsidRDefault="00C47720" w:rsidP="00191FD8">
            <w:r w:rsidRPr="00C47720">
              <w:t>-</w:t>
            </w:r>
            <w:r>
              <w:t xml:space="preserve"> </w:t>
            </w:r>
            <w:r w:rsidRPr="00C47720">
              <w:t xml:space="preserve">If jobs created or retained, the positions must remain in existence for </w:t>
            </w:r>
            <w:r w:rsidR="00191FD8">
              <w:t>1</w:t>
            </w:r>
            <w:r w:rsidRPr="00C47720">
              <w:t xml:space="preserve"> year</w:t>
            </w:r>
          </w:p>
        </w:tc>
        <w:tc>
          <w:tcPr>
            <w:tcW w:w="3240" w:type="dxa"/>
          </w:tcPr>
          <w:p w:rsidR="006F7E0A" w:rsidRDefault="006F7E0A" w:rsidP="006F7E0A">
            <w:r>
              <w:rPr>
                <w:sz w:val="24"/>
                <w:szCs w:val="24"/>
              </w:rPr>
              <w:t xml:space="preserve">- </w:t>
            </w:r>
            <w:r>
              <w:t>Sole</w:t>
            </w:r>
            <w:r>
              <w:rPr>
                <w:sz w:val="24"/>
                <w:szCs w:val="24"/>
              </w:rPr>
              <w:t xml:space="preserve"> </w:t>
            </w:r>
            <w:r>
              <w:t>proprietor business must remain in operation for term of loan</w:t>
            </w:r>
          </w:p>
          <w:p w:rsidR="00B41165" w:rsidRDefault="006F7E0A" w:rsidP="006F7E0A">
            <w:r>
              <w:t>- If jobs created or retained, the positions must remain in existence for term of loan</w:t>
            </w:r>
          </w:p>
          <w:p w:rsidR="009F5B52" w:rsidRDefault="009F5B52" w:rsidP="006F7E0A">
            <w:pPr>
              <w:rPr>
                <w:sz w:val="24"/>
                <w:szCs w:val="24"/>
              </w:rPr>
            </w:pPr>
          </w:p>
        </w:tc>
      </w:tr>
      <w:tr w:rsidR="00B41165" w:rsidTr="009F5B52">
        <w:tc>
          <w:tcPr>
            <w:tcW w:w="1475" w:type="dxa"/>
          </w:tcPr>
          <w:p w:rsidR="00B41165" w:rsidRPr="009F5B52" w:rsidRDefault="006F7E0A">
            <w:pPr>
              <w:rPr>
                <w:i/>
              </w:rPr>
            </w:pPr>
            <w:r w:rsidRPr="009F5B52">
              <w:rPr>
                <w:i/>
              </w:rPr>
              <w:t>Loan Terms</w:t>
            </w:r>
          </w:p>
        </w:tc>
        <w:tc>
          <w:tcPr>
            <w:tcW w:w="2233" w:type="dxa"/>
          </w:tcPr>
          <w:p w:rsidR="00B41165" w:rsidRPr="006F7E0A" w:rsidRDefault="006F7E0A">
            <w:r w:rsidRPr="006F7E0A">
              <w:t>N/A</w:t>
            </w:r>
          </w:p>
        </w:tc>
        <w:tc>
          <w:tcPr>
            <w:tcW w:w="2970" w:type="dxa"/>
          </w:tcPr>
          <w:p w:rsidR="00B41165" w:rsidRPr="006F7E0A" w:rsidRDefault="006F7E0A">
            <w:r w:rsidRPr="006F7E0A">
              <w:t>N/A</w:t>
            </w:r>
          </w:p>
        </w:tc>
        <w:tc>
          <w:tcPr>
            <w:tcW w:w="3240" w:type="dxa"/>
          </w:tcPr>
          <w:p w:rsidR="00B41165" w:rsidRDefault="00E3423C">
            <w:r>
              <w:t>0% interest</w:t>
            </w:r>
          </w:p>
          <w:p w:rsidR="00E3423C" w:rsidRDefault="00E3423C">
            <w:r>
              <w:t>Loan periods from 1 to 10 years</w:t>
            </w:r>
          </w:p>
          <w:p w:rsidR="00E123A7" w:rsidRPr="006F7E0A" w:rsidRDefault="00E123A7"/>
        </w:tc>
      </w:tr>
    </w:tbl>
    <w:p w:rsidR="002E0D5B" w:rsidRDefault="002E0D5B">
      <w:pPr>
        <w:rPr>
          <w:sz w:val="24"/>
          <w:szCs w:val="24"/>
        </w:rPr>
      </w:pPr>
    </w:p>
    <w:p w:rsidR="006F7E0A" w:rsidRDefault="006F7E0A">
      <w:pPr>
        <w:rPr>
          <w:sz w:val="24"/>
          <w:szCs w:val="24"/>
        </w:rPr>
      </w:pPr>
    </w:p>
    <w:p w:rsidR="006757CB" w:rsidRPr="006757CB" w:rsidRDefault="006757CB">
      <w:pPr>
        <w:rPr>
          <w:b/>
          <w:sz w:val="28"/>
          <w:szCs w:val="28"/>
        </w:rPr>
      </w:pPr>
      <w:r w:rsidRPr="006757CB">
        <w:rPr>
          <w:b/>
          <w:sz w:val="28"/>
          <w:szCs w:val="28"/>
        </w:rPr>
        <w:t>Requirements and Definitions:</w:t>
      </w:r>
    </w:p>
    <w:p w:rsidR="006757CB" w:rsidRDefault="006757CB">
      <w:pPr>
        <w:rPr>
          <w:sz w:val="24"/>
          <w:szCs w:val="24"/>
        </w:rPr>
      </w:pPr>
    </w:p>
    <w:p w:rsidR="005B545F" w:rsidRDefault="005B545F">
      <w:pPr>
        <w:rPr>
          <w:sz w:val="24"/>
          <w:szCs w:val="24"/>
        </w:rPr>
      </w:pPr>
      <w:r w:rsidRPr="006757CB">
        <w:rPr>
          <w:i/>
          <w:sz w:val="24"/>
          <w:szCs w:val="24"/>
          <w:u w:val="single"/>
        </w:rPr>
        <w:t>Annual Salary</w:t>
      </w:r>
      <w:r>
        <w:rPr>
          <w:sz w:val="24"/>
          <w:szCs w:val="24"/>
        </w:rPr>
        <w:t xml:space="preserve"> – For jobs created or retained, the annual salary cannot exceed the HUD established income limit for a one person household</w:t>
      </w:r>
      <w:r w:rsidR="00E123A7">
        <w:rPr>
          <w:sz w:val="24"/>
          <w:szCs w:val="24"/>
        </w:rPr>
        <w:t xml:space="preserve"> for Somerset County</w:t>
      </w:r>
      <w:r>
        <w:rPr>
          <w:sz w:val="24"/>
          <w:szCs w:val="24"/>
        </w:rPr>
        <w:t>.  (</w:t>
      </w:r>
      <w:r w:rsidR="00E123A7">
        <w:rPr>
          <w:sz w:val="24"/>
          <w:szCs w:val="24"/>
        </w:rPr>
        <w:t xml:space="preserve">Example - </w:t>
      </w:r>
      <w:r>
        <w:rPr>
          <w:sz w:val="24"/>
          <w:szCs w:val="24"/>
        </w:rPr>
        <w:t xml:space="preserve">For CY </w:t>
      </w:r>
      <w:r w:rsidR="00E123A7">
        <w:rPr>
          <w:sz w:val="24"/>
          <w:szCs w:val="24"/>
        </w:rPr>
        <w:t>20</w:t>
      </w:r>
      <w:r>
        <w:rPr>
          <w:sz w:val="24"/>
          <w:szCs w:val="24"/>
        </w:rPr>
        <w:t>13, the limit is $42,700)</w:t>
      </w:r>
    </w:p>
    <w:p w:rsidR="005B545F" w:rsidRDefault="005B545F">
      <w:pPr>
        <w:rPr>
          <w:sz w:val="24"/>
          <w:szCs w:val="24"/>
        </w:rPr>
      </w:pPr>
    </w:p>
    <w:p w:rsidR="00925C85" w:rsidRDefault="00925C85">
      <w:pPr>
        <w:rPr>
          <w:sz w:val="24"/>
          <w:szCs w:val="24"/>
        </w:rPr>
      </w:pPr>
      <w:r w:rsidRPr="006757CB">
        <w:rPr>
          <w:i/>
          <w:sz w:val="24"/>
          <w:szCs w:val="24"/>
          <w:u w:val="single"/>
        </w:rPr>
        <w:t>Building Improvements</w:t>
      </w:r>
      <w:r>
        <w:rPr>
          <w:sz w:val="24"/>
          <w:szCs w:val="24"/>
        </w:rPr>
        <w:t xml:space="preserve"> – If business rents their space, the building owner must approve the improvements in writing.  If the improvements result in physical alteration to the building, the building owner must agree in writing to “freeze” rent for a five year period</w:t>
      </w:r>
      <w:r w:rsidR="00E3423C">
        <w:rPr>
          <w:sz w:val="24"/>
          <w:szCs w:val="24"/>
        </w:rPr>
        <w:t xml:space="preserve"> unless rent increases are specified in existing lease or other documentation</w:t>
      </w:r>
      <w:r>
        <w:rPr>
          <w:sz w:val="24"/>
          <w:szCs w:val="24"/>
        </w:rPr>
        <w:t xml:space="preserve">.  </w:t>
      </w:r>
    </w:p>
    <w:p w:rsidR="00925C85" w:rsidRDefault="00925C85">
      <w:pPr>
        <w:rPr>
          <w:sz w:val="24"/>
          <w:szCs w:val="24"/>
        </w:rPr>
      </w:pPr>
    </w:p>
    <w:p w:rsidR="006757CB" w:rsidRDefault="006757CB">
      <w:pPr>
        <w:rPr>
          <w:sz w:val="24"/>
          <w:szCs w:val="24"/>
        </w:rPr>
      </w:pPr>
      <w:r w:rsidRPr="006757CB">
        <w:rPr>
          <w:i/>
          <w:sz w:val="24"/>
          <w:szCs w:val="24"/>
          <w:u w:val="single"/>
        </w:rPr>
        <w:t>Building Codes</w:t>
      </w:r>
      <w:r>
        <w:rPr>
          <w:sz w:val="24"/>
          <w:szCs w:val="24"/>
        </w:rPr>
        <w:t xml:space="preserve"> – Building improvements </w:t>
      </w:r>
      <w:r w:rsidR="00E123A7">
        <w:rPr>
          <w:sz w:val="24"/>
          <w:szCs w:val="24"/>
        </w:rPr>
        <w:t xml:space="preserve">are </w:t>
      </w:r>
      <w:r>
        <w:rPr>
          <w:sz w:val="24"/>
          <w:szCs w:val="24"/>
        </w:rPr>
        <w:t xml:space="preserve">subject to local, county and state code </w:t>
      </w:r>
      <w:r w:rsidR="00E123A7">
        <w:rPr>
          <w:sz w:val="24"/>
          <w:szCs w:val="24"/>
        </w:rPr>
        <w:t>r</w:t>
      </w:r>
      <w:r>
        <w:rPr>
          <w:sz w:val="24"/>
          <w:szCs w:val="24"/>
        </w:rPr>
        <w:t>equirements.  The EDC must ensure that proper permits are obtained.</w:t>
      </w:r>
    </w:p>
    <w:p w:rsidR="006757CB" w:rsidRDefault="006757CB">
      <w:pPr>
        <w:rPr>
          <w:sz w:val="24"/>
          <w:szCs w:val="24"/>
        </w:rPr>
      </w:pPr>
    </w:p>
    <w:p w:rsidR="00E123A7" w:rsidRDefault="00E123A7">
      <w:pPr>
        <w:rPr>
          <w:sz w:val="24"/>
          <w:szCs w:val="24"/>
        </w:rPr>
      </w:pPr>
      <w:r w:rsidRPr="00E123A7">
        <w:rPr>
          <w:i/>
          <w:sz w:val="24"/>
          <w:szCs w:val="24"/>
          <w:u w:val="single"/>
        </w:rPr>
        <w:t>Conflict of Interest</w:t>
      </w:r>
      <w:r>
        <w:rPr>
          <w:sz w:val="24"/>
          <w:szCs w:val="24"/>
        </w:rPr>
        <w:t xml:space="preserve"> – The EDC will ensure that there is no conflict of interest related to the approval of grants and loans or in the selection of contractors by the EDC, Somerset County, Maryland Capital Enterprises or the recipient/borrower.</w:t>
      </w:r>
    </w:p>
    <w:p w:rsidR="00E123A7" w:rsidRDefault="00E123A7">
      <w:pPr>
        <w:rPr>
          <w:sz w:val="24"/>
          <w:szCs w:val="24"/>
        </w:rPr>
      </w:pPr>
    </w:p>
    <w:p w:rsidR="00FE35FB" w:rsidRDefault="00FE35FB">
      <w:pPr>
        <w:rPr>
          <w:sz w:val="24"/>
          <w:szCs w:val="24"/>
        </w:rPr>
      </w:pPr>
      <w:r w:rsidRPr="006757CB">
        <w:rPr>
          <w:i/>
          <w:sz w:val="24"/>
          <w:szCs w:val="24"/>
          <w:u w:val="single"/>
        </w:rPr>
        <w:t>Costs</w:t>
      </w:r>
      <w:r w:rsidRPr="006757CB">
        <w:rPr>
          <w:sz w:val="24"/>
          <w:szCs w:val="24"/>
          <w:u w:val="single"/>
        </w:rPr>
        <w:t xml:space="preserve"> </w:t>
      </w:r>
      <w:r>
        <w:rPr>
          <w:sz w:val="24"/>
          <w:szCs w:val="24"/>
        </w:rPr>
        <w:t xml:space="preserve">– </w:t>
      </w:r>
      <w:r w:rsidR="00E123A7">
        <w:rPr>
          <w:sz w:val="24"/>
          <w:szCs w:val="24"/>
        </w:rPr>
        <w:t>The EDC must determine that a</w:t>
      </w:r>
      <w:r>
        <w:rPr>
          <w:sz w:val="24"/>
          <w:szCs w:val="24"/>
        </w:rPr>
        <w:t xml:space="preserve">ll costs </w:t>
      </w:r>
      <w:r w:rsidR="00E123A7">
        <w:rPr>
          <w:sz w:val="24"/>
          <w:szCs w:val="24"/>
        </w:rPr>
        <w:t>are</w:t>
      </w:r>
      <w:r>
        <w:rPr>
          <w:sz w:val="24"/>
          <w:szCs w:val="24"/>
        </w:rPr>
        <w:t xml:space="preserve"> necessary and reasonable.</w:t>
      </w:r>
    </w:p>
    <w:p w:rsidR="00FE35FB" w:rsidRDefault="00FE35FB">
      <w:pPr>
        <w:rPr>
          <w:sz w:val="24"/>
          <w:szCs w:val="24"/>
        </w:rPr>
      </w:pPr>
    </w:p>
    <w:p w:rsidR="00FE35FB" w:rsidRDefault="00FE35FB">
      <w:pPr>
        <w:rPr>
          <w:sz w:val="24"/>
          <w:szCs w:val="24"/>
        </w:rPr>
      </w:pPr>
      <w:r w:rsidRPr="006757CB">
        <w:rPr>
          <w:i/>
          <w:sz w:val="24"/>
          <w:szCs w:val="24"/>
          <w:u w:val="single"/>
        </w:rPr>
        <w:t>Debarment Check</w:t>
      </w:r>
      <w:r>
        <w:rPr>
          <w:sz w:val="24"/>
          <w:szCs w:val="24"/>
        </w:rPr>
        <w:t xml:space="preserve"> – The EDC must check the federal website to determine if selected contractor is on the debarred list prior to contracts being signed.</w:t>
      </w:r>
    </w:p>
    <w:p w:rsidR="00FE35FB" w:rsidRDefault="00FE35FB">
      <w:pPr>
        <w:rPr>
          <w:sz w:val="24"/>
          <w:szCs w:val="24"/>
        </w:rPr>
      </w:pPr>
    </w:p>
    <w:p w:rsidR="00E123A7" w:rsidRDefault="00E123A7" w:rsidP="00E123A7">
      <w:pPr>
        <w:rPr>
          <w:sz w:val="24"/>
          <w:szCs w:val="24"/>
        </w:rPr>
      </w:pPr>
      <w:r>
        <w:rPr>
          <w:i/>
          <w:sz w:val="24"/>
          <w:szCs w:val="24"/>
          <w:u w:val="single"/>
        </w:rPr>
        <w:t>Documentation of Use of Funds</w:t>
      </w:r>
      <w:r>
        <w:rPr>
          <w:sz w:val="24"/>
          <w:szCs w:val="24"/>
        </w:rPr>
        <w:t xml:space="preserve"> – For façade grants and business loans, costs must be documented with receipts to be provided to EDC.</w:t>
      </w:r>
    </w:p>
    <w:p w:rsidR="00191FD8" w:rsidRDefault="00191FD8" w:rsidP="00E123A7">
      <w:pPr>
        <w:rPr>
          <w:sz w:val="24"/>
          <w:szCs w:val="24"/>
        </w:rPr>
      </w:pPr>
    </w:p>
    <w:p w:rsidR="006757CB" w:rsidRDefault="006757CB">
      <w:pPr>
        <w:rPr>
          <w:sz w:val="24"/>
          <w:szCs w:val="24"/>
        </w:rPr>
      </w:pPr>
      <w:r w:rsidRPr="006757CB">
        <w:rPr>
          <w:i/>
          <w:sz w:val="24"/>
          <w:szCs w:val="24"/>
          <w:u w:val="single"/>
        </w:rPr>
        <w:t>Duplication of Benefits</w:t>
      </w:r>
      <w:r>
        <w:rPr>
          <w:sz w:val="24"/>
          <w:szCs w:val="24"/>
        </w:rPr>
        <w:t xml:space="preserve"> – The EDC must determine if applicant received funding from other sources for same activities.</w:t>
      </w:r>
    </w:p>
    <w:p w:rsidR="006757CB" w:rsidRDefault="006757CB">
      <w:pPr>
        <w:rPr>
          <w:sz w:val="24"/>
          <w:szCs w:val="24"/>
        </w:rPr>
      </w:pPr>
    </w:p>
    <w:p w:rsidR="00925C85" w:rsidRDefault="00925C85">
      <w:pPr>
        <w:rPr>
          <w:sz w:val="24"/>
          <w:szCs w:val="24"/>
        </w:rPr>
      </w:pPr>
      <w:r w:rsidRPr="006757CB">
        <w:rPr>
          <w:i/>
          <w:sz w:val="24"/>
          <w:szCs w:val="24"/>
          <w:u w:val="single"/>
        </w:rPr>
        <w:t>Flood Insurance</w:t>
      </w:r>
      <w:r>
        <w:rPr>
          <w:sz w:val="24"/>
          <w:szCs w:val="24"/>
        </w:rPr>
        <w:t xml:space="preserve"> – Failure to obtain and maintain flood insurance for the required period will result in immediate termination of grant or loan and require repayment in full.</w:t>
      </w:r>
    </w:p>
    <w:p w:rsidR="00925C85" w:rsidRDefault="00925C85">
      <w:pPr>
        <w:rPr>
          <w:sz w:val="24"/>
          <w:szCs w:val="24"/>
        </w:rPr>
      </w:pPr>
    </w:p>
    <w:p w:rsidR="005B545F" w:rsidRDefault="005B545F" w:rsidP="005B545F">
      <w:pPr>
        <w:rPr>
          <w:sz w:val="24"/>
          <w:szCs w:val="24"/>
        </w:rPr>
      </w:pPr>
      <w:r w:rsidRPr="006757CB">
        <w:rPr>
          <w:i/>
          <w:sz w:val="24"/>
          <w:szCs w:val="24"/>
          <w:u w:val="single"/>
        </w:rPr>
        <w:t>Income Limits</w:t>
      </w:r>
      <w:r>
        <w:rPr>
          <w:sz w:val="24"/>
          <w:szCs w:val="24"/>
        </w:rPr>
        <w:t xml:space="preserve"> – Income limits provided annually by HUD for Somerset County which determine maximum amount of household income for size of household.</w:t>
      </w:r>
      <w:r w:rsidR="00925C85">
        <w:rPr>
          <w:sz w:val="24"/>
          <w:szCs w:val="24"/>
        </w:rPr>
        <w:t xml:space="preserve"> The moderate income amount is 80% of the area median income.</w:t>
      </w:r>
    </w:p>
    <w:p w:rsidR="005B545F" w:rsidRDefault="005B545F">
      <w:pPr>
        <w:rPr>
          <w:sz w:val="24"/>
          <w:szCs w:val="24"/>
        </w:rPr>
      </w:pPr>
    </w:p>
    <w:p w:rsidR="005B545F" w:rsidRDefault="005B545F" w:rsidP="005B545F">
      <w:pPr>
        <w:rPr>
          <w:sz w:val="24"/>
          <w:szCs w:val="24"/>
        </w:rPr>
      </w:pPr>
      <w:r w:rsidRPr="006757CB">
        <w:rPr>
          <w:i/>
          <w:sz w:val="24"/>
          <w:szCs w:val="24"/>
          <w:u w:val="single"/>
        </w:rPr>
        <w:t>Income Verification</w:t>
      </w:r>
      <w:r>
        <w:rPr>
          <w:sz w:val="24"/>
          <w:szCs w:val="24"/>
        </w:rPr>
        <w:t xml:space="preserve"> – Must use PART 5 definition and process to verify total household income.</w:t>
      </w:r>
    </w:p>
    <w:p w:rsidR="005B545F" w:rsidRDefault="005B545F">
      <w:pPr>
        <w:rPr>
          <w:sz w:val="24"/>
          <w:szCs w:val="24"/>
        </w:rPr>
      </w:pPr>
    </w:p>
    <w:p w:rsidR="00E123A7" w:rsidRDefault="00E123A7">
      <w:pPr>
        <w:rPr>
          <w:sz w:val="24"/>
          <w:szCs w:val="24"/>
        </w:rPr>
      </w:pPr>
      <w:r w:rsidRPr="00E123A7">
        <w:rPr>
          <w:i/>
          <w:sz w:val="24"/>
          <w:szCs w:val="24"/>
          <w:u w:val="single"/>
        </w:rPr>
        <w:t>Grant Compliance</w:t>
      </w:r>
      <w:r>
        <w:rPr>
          <w:sz w:val="24"/>
          <w:szCs w:val="24"/>
        </w:rPr>
        <w:t xml:space="preserve"> – The EDC will ensure compliance with all requirements with a lien or other legal document.</w:t>
      </w:r>
    </w:p>
    <w:p w:rsidR="00E123A7" w:rsidRDefault="00E123A7">
      <w:pPr>
        <w:rPr>
          <w:sz w:val="24"/>
          <w:szCs w:val="24"/>
        </w:rPr>
      </w:pPr>
    </w:p>
    <w:p w:rsidR="00925C85" w:rsidRDefault="00925C85">
      <w:pPr>
        <w:rPr>
          <w:sz w:val="24"/>
          <w:szCs w:val="24"/>
        </w:rPr>
      </w:pPr>
      <w:r w:rsidRPr="006757CB">
        <w:rPr>
          <w:i/>
          <w:sz w:val="24"/>
          <w:szCs w:val="24"/>
          <w:u w:val="single"/>
        </w:rPr>
        <w:t>Labor Standards</w:t>
      </w:r>
      <w:r>
        <w:rPr>
          <w:sz w:val="24"/>
          <w:szCs w:val="24"/>
        </w:rPr>
        <w:t xml:space="preserve"> – </w:t>
      </w:r>
      <w:r w:rsidR="006757CB">
        <w:rPr>
          <w:sz w:val="24"/>
          <w:szCs w:val="24"/>
        </w:rPr>
        <w:t xml:space="preserve">The </w:t>
      </w:r>
      <w:r>
        <w:rPr>
          <w:sz w:val="24"/>
          <w:szCs w:val="24"/>
        </w:rPr>
        <w:t>EDC will obtain appropriate wage decision from CDBG Labor Officer, review weekly payrolls to ensure proper wages are paid, and do at least one employee interview</w:t>
      </w:r>
      <w:r w:rsidR="00E123A7">
        <w:rPr>
          <w:sz w:val="24"/>
          <w:szCs w:val="24"/>
        </w:rPr>
        <w:t xml:space="preserve"> for each contract</w:t>
      </w:r>
      <w:r>
        <w:rPr>
          <w:sz w:val="24"/>
          <w:szCs w:val="24"/>
        </w:rPr>
        <w:t>.</w:t>
      </w:r>
      <w:r w:rsidR="006757CB">
        <w:rPr>
          <w:sz w:val="24"/>
          <w:szCs w:val="24"/>
        </w:rPr>
        <w:t xml:space="preserve">  Not required if contractor has no employees and will complete all work.</w:t>
      </w:r>
    </w:p>
    <w:p w:rsidR="00925C85" w:rsidRDefault="00925C85">
      <w:pPr>
        <w:rPr>
          <w:sz w:val="24"/>
          <w:szCs w:val="24"/>
        </w:rPr>
      </w:pPr>
    </w:p>
    <w:p w:rsidR="00925C85" w:rsidRPr="00FE35FB" w:rsidRDefault="00925C85">
      <w:pPr>
        <w:rPr>
          <w:sz w:val="24"/>
          <w:szCs w:val="24"/>
        </w:rPr>
      </w:pPr>
      <w:r w:rsidRPr="006757CB">
        <w:rPr>
          <w:i/>
          <w:sz w:val="24"/>
          <w:szCs w:val="24"/>
          <w:u w:val="single"/>
        </w:rPr>
        <w:t>Maryland Historical Trust</w:t>
      </w:r>
      <w:r w:rsidR="00FE35FB">
        <w:rPr>
          <w:sz w:val="24"/>
          <w:szCs w:val="24"/>
        </w:rPr>
        <w:t xml:space="preserve"> – </w:t>
      </w:r>
      <w:r w:rsidR="006757CB">
        <w:rPr>
          <w:sz w:val="24"/>
          <w:szCs w:val="24"/>
        </w:rPr>
        <w:t xml:space="preserve">The EDC will submit appropriate paperwork to the Trust for approval and ensure any requirements or conditions are met.  </w:t>
      </w:r>
      <w:r w:rsidR="00FE35FB">
        <w:rPr>
          <w:sz w:val="24"/>
          <w:szCs w:val="24"/>
        </w:rPr>
        <w:t xml:space="preserve">In the event that requirements required by the Trust result in an increase of projects costs, the EDC may provide additional funding to </w:t>
      </w:r>
      <w:r w:rsidR="00E123A7">
        <w:rPr>
          <w:sz w:val="24"/>
          <w:szCs w:val="24"/>
        </w:rPr>
        <w:t xml:space="preserve">cover </w:t>
      </w:r>
      <w:r w:rsidR="00FE35FB">
        <w:rPr>
          <w:sz w:val="24"/>
          <w:szCs w:val="24"/>
        </w:rPr>
        <w:t>increased costs.</w:t>
      </w:r>
    </w:p>
    <w:p w:rsidR="00925C85" w:rsidRDefault="00925C85">
      <w:pPr>
        <w:rPr>
          <w:sz w:val="24"/>
          <w:szCs w:val="24"/>
        </w:rPr>
      </w:pPr>
    </w:p>
    <w:p w:rsidR="00925C85" w:rsidRDefault="00925C85">
      <w:pPr>
        <w:rPr>
          <w:sz w:val="24"/>
          <w:szCs w:val="24"/>
        </w:rPr>
      </w:pPr>
      <w:r w:rsidRPr="006757CB">
        <w:rPr>
          <w:i/>
          <w:sz w:val="24"/>
          <w:szCs w:val="24"/>
          <w:u w:val="single"/>
        </w:rPr>
        <w:t>Monitoring</w:t>
      </w:r>
      <w:r w:rsidR="00FE35FB" w:rsidRPr="006757CB">
        <w:rPr>
          <w:sz w:val="24"/>
          <w:szCs w:val="24"/>
          <w:u w:val="single"/>
        </w:rPr>
        <w:t xml:space="preserve"> –</w:t>
      </w:r>
      <w:r w:rsidR="00FE35FB">
        <w:rPr>
          <w:sz w:val="24"/>
          <w:szCs w:val="24"/>
        </w:rPr>
        <w:t xml:space="preserve"> The State CDBG Program will monitor grant and loan files to ensure compliance with procurement, labor standards, financial, and national objective requirements at a minimum.</w:t>
      </w:r>
    </w:p>
    <w:p w:rsidR="00925C85" w:rsidRDefault="00925C85">
      <w:pPr>
        <w:rPr>
          <w:sz w:val="24"/>
          <w:szCs w:val="24"/>
        </w:rPr>
      </w:pPr>
    </w:p>
    <w:p w:rsidR="006757CB" w:rsidRDefault="006757CB">
      <w:pPr>
        <w:rPr>
          <w:sz w:val="24"/>
          <w:szCs w:val="24"/>
        </w:rPr>
      </w:pPr>
      <w:r w:rsidRPr="006757CB">
        <w:rPr>
          <w:i/>
          <w:sz w:val="24"/>
          <w:szCs w:val="24"/>
          <w:u w:val="single"/>
        </w:rPr>
        <w:t>Other Financing</w:t>
      </w:r>
      <w:r>
        <w:rPr>
          <w:sz w:val="24"/>
          <w:szCs w:val="24"/>
        </w:rPr>
        <w:t xml:space="preserve"> – The EDC will document all other financing </w:t>
      </w:r>
      <w:r w:rsidR="006A5848">
        <w:rPr>
          <w:sz w:val="24"/>
          <w:szCs w:val="24"/>
        </w:rPr>
        <w:t>use for</w:t>
      </w:r>
      <w:r>
        <w:rPr>
          <w:sz w:val="24"/>
          <w:szCs w:val="24"/>
        </w:rPr>
        <w:t xml:space="preserve"> activities.</w:t>
      </w:r>
    </w:p>
    <w:p w:rsidR="006757CB" w:rsidRDefault="006757CB">
      <w:pPr>
        <w:rPr>
          <w:sz w:val="24"/>
          <w:szCs w:val="24"/>
        </w:rPr>
      </w:pPr>
    </w:p>
    <w:p w:rsidR="00925C85" w:rsidRDefault="006757CB">
      <w:pPr>
        <w:rPr>
          <w:sz w:val="24"/>
          <w:szCs w:val="24"/>
        </w:rPr>
      </w:pPr>
      <w:r w:rsidRPr="006757CB">
        <w:rPr>
          <w:i/>
          <w:sz w:val="24"/>
          <w:szCs w:val="24"/>
          <w:u w:val="single"/>
        </w:rPr>
        <w:t>P</w:t>
      </w:r>
      <w:r w:rsidR="00925C85" w:rsidRPr="006757CB">
        <w:rPr>
          <w:i/>
          <w:sz w:val="24"/>
          <w:szCs w:val="24"/>
          <w:u w:val="single"/>
        </w:rPr>
        <w:t>rocurement</w:t>
      </w:r>
      <w:r w:rsidR="00FE35FB" w:rsidRPr="00FE35FB">
        <w:rPr>
          <w:i/>
          <w:sz w:val="24"/>
          <w:szCs w:val="24"/>
        </w:rPr>
        <w:t xml:space="preserve"> </w:t>
      </w:r>
      <w:r w:rsidR="00FE35FB">
        <w:rPr>
          <w:sz w:val="24"/>
          <w:szCs w:val="24"/>
        </w:rPr>
        <w:t xml:space="preserve">– </w:t>
      </w:r>
      <w:r>
        <w:rPr>
          <w:sz w:val="24"/>
          <w:szCs w:val="24"/>
        </w:rPr>
        <w:t xml:space="preserve">The </w:t>
      </w:r>
      <w:r w:rsidR="00FE35FB">
        <w:rPr>
          <w:sz w:val="24"/>
          <w:szCs w:val="24"/>
        </w:rPr>
        <w:t>EDC will review estimates and approve selection of contractor</w:t>
      </w:r>
      <w:r w:rsidR="006A5848">
        <w:rPr>
          <w:sz w:val="24"/>
          <w:szCs w:val="24"/>
        </w:rPr>
        <w:t xml:space="preserve"> in consultation with the recipient/borrower</w:t>
      </w:r>
      <w:r w:rsidR="00FE35FB">
        <w:rPr>
          <w:sz w:val="24"/>
          <w:szCs w:val="24"/>
        </w:rPr>
        <w:t>.</w:t>
      </w:r>
    </w:p>
    <w:p w:rsidR="00925C85" w:rsidRDefault="00925C85">
      <w:pPr>
        <w:rPr>
          <w:sz w:val="24"/>
          <w:szCs w:val="24"/>
        </w:rPr>
      </w:pPr>
    </w:p>
    <w:p w:rsidR="009F5B52" w:rsidRDefault="009F5B52">
      <w:pPr>
        <w:rPr>
          <w:sz w:val="24"/>
          <w:szCs w:val="24"/>
        </w:rPr>
      </w:pPr>
      <w:r w:rsidRPr="009F5B52">
        <w:rPr>
          <w:i/>
          <w:sz w:val="24"/>
          <w:szCs w:val="24"/>
          <w:u w:val="single"/>
        </w:rPr>
        <w:t>Publicity</w:t>
      </w:r>
      <w:r>
        <w:rPr>
          <w:sz w:val="24"/>
          <w:szCs w:val="24"/>
        </w:rPr>
        <w:t xml:space="preserve"> – The EDC shall ensure that appropriate publicity is provided with acknowledgement of roles of </w:t>
      </w:r>
      <w:r w:rsidR="006A5848">
        <w:rPr>
          <w:sz w:val="24"/>
          <w:szCs w:val="24"/>
        </w:rPr>
        <w:t xml:space="preserve">the </w:t>
      </w:r>
      <w:r>
        <w:rPr>
          <w:sz w:val="24"/>
          <w:szCs w:val="24"/>
        </w:rPr>
        <w:t>EDC, Somerset County, State and HUD.</w:t>
      </w:r>
    </w:p>
    <w:p w:rsidR="009F5B52" w:rsidRDefault="009F5B52">
      <w:pPr>
        <w:rPr>
          <w:sz w:val="24"/>
          <w:szCs w:val="24"/>
        </w:rPr>
      </w:pPr>
    </w:p>
    <w:p w:rsidR="00FE35FB" w:rsidRDefault="00FE35FB">
      <w:pPr>
        <w:rPr>
          <w:sz w:val="24"/>
          <w:szCs w:val="24"/>
        </w:rPr>
      </w:pPr>
      <w:r w:rsidRPr="006757CB">
        <w:rPr>
          <w:i/>
          <w:sz w:val="24"/>
          <w:szCs w:val="24"/>
          <w:u w:val="single"/>
        </w:rPr>
        <w:t>Sandy Impact</w:t>
      </w:r>
      <w:r>
        <w:rPr>
          <w:sz w:val="24"/>
          <w:szCs w:val="24"/>
        </w:rPr>
        <w:t xml:space="preserve"> – Participating business must have been impacted by Hurricane Sandy.</w:t>
      </w:r>
    </w:p>
    <w:p w:rsidR="00FE35FB" w:rsidRDefault="00FE35FB">
      <w:pPr>
        <w:rPr>
          <w:sz w:val="24"/>
          <w:szCs w:val="24"/>
        </w:rPr>
      </w:pPr>
    </w:p>
    <w:p w:rsidR="005B545F" w:rsidRDefault="005B545F">
      <w:pPr>
        <w:rPr>
          <w:sz w:val="24"/>
          <w:szCs w:val="24"/>
        </w:rPr>
      </w:pPr>
      <w:r w:rsidRPr="006757CB">
        <w:rPr>
          <w:i/>
          <w:sz w:val="24"/>
          <w:szCs w:val="24"/>
          <w:u w:val="single"/>
        </w:rPr>
        <w:t>Total Household Income</w:t>
      </w:r>
      <w:r>
        <w:rPr>
          <w:sz w:val="24"/>
          <w:szCs w:val="24"/>
        </w:rPr>
        <w:t xml:space="preserve"> – Includes all persons living in the house over the age of 18 with the exception of full-time college students.</w:t>
      </w:r>
    </w:p>
    <w:p w:rsidR="005B545F" w:rsidRDefault="005B545F">
      <w:pPr>
        <w:rPr>
          <w:sz w:val="24"/>
          <w:szCs w:val="24"/>
        </w:rPr>
      </w:pPr>
    </w:p>
    <w:p w:rsidR="00191FD8" w:rsidRDefault="00191FD8">
      <w:pPr>
        <w:rPr>
          <w:sz w:val="24"/>
          <w:szCs w:val="24"/>
        </w:rPr>
      </w:pPr>
      <w:r>
        <w:rPr>
          <w:sz w:val="24"/>
          <w:szCs w:val="24"/>
        </w:rPr>
        <w:t>7/14/14</w:t>
      </w:r>
    </w:p>
    <w:p w:rsidR="005B545F" w:rsidRDefault="005B545F">
      <w:pPr>
        <w:rPr>
          <w:sz w:val="24"/>
          <w:szCs w:val="24"/>
        </w:rPr>
      </w:pPr>
    </w:p>
    <w:p w:rsidR="005B545F" w:rsidRPr="002E0D5B" w:rsidRDefault="005B545F">
      <w:pPr>
        <w:rPr>
          <w:sz w:val="24"/>
          <w:szCs w:val="24"/>
        </w:rPr>
      </w:pPr>
    </w:p>
    <w:sectPr w:rsidR="005B545F" w:rsidRPr="002E0D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BF" w:rsidRDefault="008D2FBF" w:rsidP="006757CB">
      <w:r>
        <w:separator/>
      </w:r>
    </w:p>
  </w:endnote>
  <w:endnote w:type="continuationSeparator" w:id="0">
    <w:p w:rsidR="008D2FBF" w:rsidRDefault="008D2FBF" w:rsidP="0067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63714"/>
      <w:docPartObj>
        <w:docPartGallery w:val="Page Numbers (Bottom of Page)"/>
        <w:docPartUnique/>
      </w:docPartObj>
    </w:sdtPr>
    <w:sdtEndPr>
      <w:rPr>
        <w:noProof/>
      </w:rPr>
    </w:sdtEndPr>
    <w:sdtContent>
      <w:p w:rsidR="0014121A" w:rsidRDefault="0014121A">
        <w:pPr>
          <w:pStyle w:val="Footer"/>
          <w:jc w:val="right"/>
        </w:pPr>
        <w:r>
          <w:fldChar w:fldCharType="begin"/>
        </w:r>
        <w:r>
          <w:instrText xml:space="preserve"> PAGE   \* MERGEFORMAT </w:instrText>
        </w:r>
        <w:r>
          <w:fldChar w:fldCharType="separate"/>
        </w:r>
        <w:r w:rsidR="002553A9">
          <w:rPr>
            <w:noProof/>
          </w:rPr>
          <w:t>4</w:t>
        </w:r>
        <w:r>
          <w:rPr>
            <w:noProof/>
          </w:rPr>
          <w:fldChar w:fldCharType="end"/>
        </w:r>
      </w:p>
    </w:sdtContent>
  </w:sdt>
  <w:p w:rsidR="0014121A" w:rsidRDefault="0014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BF" w:rsidRDefault="008D2FBF" w:rsidP="006757CB">
      <w:r>
        <w:separator/>
      </w:r>
    </w:p>
  </w:footnote>
  <w:footnote w:type="continuationSeparator" w:id="0">
    <w:p w:rsidR="008D2FBF" w:rsidRDefault="008D2FBF" w:rsidP="0067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3F7B"/>
    <w:multiLevelType w:val="hybridMultilevel"/>
    <w:tmpl w:val="8F5C4D78"/>
    <w:lvl w:ilvl="0" w:tplc="00285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C44A5"/>
    <w:multiLevelType w:val="hybridMultilevel"/>
    <w:tmpl w:val="61D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27F9B"/>
    <w:multiLevelType w:val="hybridMultilevel"/>
    <w:tmpl w:val="309049A4"/>
    <w:lvl w:ilvl="0" w:tplc="5328A6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B4660"/>
    <w:multiLevelType w:val="hybridMultilevel"/>
    <w:tmpl w:val="DB90CD34"/>
    <w:lvl w:ilvl="0" w:tplc="FA4AA0CA">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5B"/>
    <w:rsid w:val="00057379"/>
    <w:rsid w:val="0014121A"/>
    <w:rsid w:val="00191FD8"/>
    <w:rsid w:val="001F3517"/>
    <w:rsid w:val="002553A9"/>
    <w:rsid w:val="002C35F5"/>
    <w:rsid w:val="002E0D5B"/>
    <w:rsid w:val="002F18BE"/>
    <w:rsid w:val="00585F8D"/>
    <w:rsid w:val="005B545F"/>
    <w:rsid w:val="00666A38"/>
    <w:rsid w:val="006757CB"/>
    <w:rsid w:val="006A5848"/>
    <w:rsid w:val="006F7E0A"/>
    <w:rsid w:val="00862429"/>
    <w:rsid w:val="008D2FBF"/>
    <w:rsid w:val="008E0A74"/>
    <w:rsid w:val="00925C85"/>
    <w:rsid w:val="00961CDF"/>
    <w:rsid w:val="009F5B52"/>
    <w:rsid w:val="00B41165"/>
    <w:rsid w:val="00C47720"/>
    <w:rsid w:val="00E123A7"/>
    <w:rsid w:val="00E3423C"/>
    <w:rsid w:val="00EB45E4"/>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F8D"/>
    <w:pPr>
      <w:ind w:left="720"/>
      <w:contextualSpacing/>
    </w:pPr>
  </w:style>
  <w:style w:type="paragraph" w:styleId="Header">
    <w:name w:val="header"/>
    <w:basedOn w:val="Normal"/>
    <w:link w:val="HeaderChar"/>
    <w:uiPriority w:val="99"/>
    <w:unhideWhenUsed/>
    <w:rsid w:val="006757CB"/>
    <w:pPr>
      <w:tabs>
        <w:tab w:val="center" w:pos="4680"/>
        <w:tab w:val="right" w:pos="9360"/>
      </w:tabs>
    </w:pPr>
  </w:style>
  <w:style w:type="character" w:customStyle="1" w:styleId="HeaderChar">
    <w:name w:val="Header Char"/>
    <w:basedOn w:val="DefaultParagraphFont"/>
    <w:link w:val="Header"/>
    <w:uiPriority w:val="99"/>
    <w:rsid w:val="006757CB"/>
  </w:style>
  <w:style w:type="paragraph" w:styleId="Footer">
    <w:name w:val="footer"/>
    <w:basedOn w:val="Normal"/>
    <w:link w:val="FooterChar"/>
    <w:uiPriority w:val="99"/>
    <w:unhideWhenUsed/>
    <w:rsid w:val="006757CB"/>
    <w:pPr>
      <w:tabs>
        <w:tab w:val="center" w:pos="4680"/>
        <w:tab w:val="right" w:pos="9360"/>
      </w:tabs>
    </w:pPr>
  </w:style>
  <w:style w:type="character" w:customStyle="1" w:styleId="FooterChar">
    <w:name w:val="Footer Char"/>
    <w:basedOn w:val="DefaultParagraphFont"/>
    <w:link w:val="Footer"/>
    <w:uiPriority w:val="99"/>
    <w:rsid w:val="006757CB"/>
  </w:style>
  <w:style w:type="paragraph" w:styleId="BalloonText">
    <w:name w:val="Balloon Text"/>
    <w:basedOn w:val="Normal"/>
    <w:link w:val="BalloonTextChar"/>
    <w:uiPriority w:val="99"/>
    <w:semiHidden/>
    <w:unhideWhenUsed/>
    <w:rsid w:val="006757CB"/>
    <w:rPr>
      <w:rFonts w:ascii="Tahoma" w:hAnsi="Tahoma" w:cs="Tahoma"/>
      <w:sz w:val="16"/>
      <w:szCs w:val="16"/>
    </w:rPr>
  </w:style>
  <w:style w:type="character" w:customStyle="1" w:styleId="BalloonTextChar">
    <w:name w:val="Balloon Text Char"/>
    <w:basedOn w:val="DefaultParagraphFont"/>
    <w:link w:val="BalloonText"/>
    <w:uiPriority w:val="99"/>
    <w:semiHidden/>
    <w:rsid w:val="0067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F8D"/>
    <w:pPr>
      <w:ind w:left="720"/>
      <w:contextualSpacing/>
    </w:pPr>
  </w:style>
  <w:style w:type="paragraph" w:styleId="Header">
    <w:name w:val="header"/>
    <w:basedOn w:val="Normal"/>
    <w:link w:val="HeaderChar"/>
    <w:uiPriority w:val="99"/>
    <w:unhideWhenUsed/>
    <w:rsid w:val="006757CB"/>
    <w:pPr>
      <w:tabs>
        <w:tab w:val="center" w:pos="4680"/>
        <w:tab w:val="right" w:pos="9360"/>
      </w:tabs>
    </w:pPr>
  </w:style>
  <w:style w:type="character" w:customStyle="1" w:styleId="HeaderChar">
    <w:name w:val="Header Char"/>
    <w:basedOn w:val="DefaultParagraphFont"/>
    <w:link w:val="Header"/>
    <w:uiPriority w:val="99"/>
    <w:rsid w:val="006757CB"/>
  </w:style>
  <w:style w:type="paragraph" w:styleId="Footer">
    <w:name w:val="footer"/>
    <w:basedOn w:val="Normal"/>
    <w:link w:val="FooterChar"/>
    <w:uiPriority w:val="99"/>
    <w:unhideWhenUsed/>
    <w:rsid w:val="006757CB"/>
    <w:pPr>
      <w:tabs>
        <w:tab w:val="center" w:pos="4680"/>
        <w:tab w:val="right" w:pos="9360"/>
      </w:tabs>
    </w:pPr>
  </w:style>
  <w:style w:type="character" w:customStyle="1" w:styleId="FooterChar">
    <w:name w:val="Footer Char"/>
    <w:basedOn w:val="DefaultParagraphFont"/>
    <w:link w:val="Footer"/>
    <w:uiPriority w:val="99"/>
    <w:rsid w:val="006757CB"/>
  </w:style>
  <w:style w:type="paragraph" w:styleId="BalloonText">
    <w:name w:val="Balloon Text"/>
    <w:basedOn w:val="Normal"/>
    <w:link w:val="BalloonTextChar"/>
    <w:uiPriority w:val="99"/>
    <w:semiHidden/>
    <w:unhideWhenUsed/>
    <w:rsid w:val="006757CB"/>
    <w:rPr>
      <w:rFonts w:ascii="Tahoma" w:hAnsi="Tahoma" w:cs="Tahoma"/>
      <w:sz w:val="16"/>
      <w:szCs w:val="16"/>
    </w:rPr>
  </w:style>
  <w:style w:type="character" w:customStyle="1" w:styleId="BalloonTextChar">
    <w:name w:val="Balloon Text Char"/>
    <w:basedOn w:val="DefaultParagraphFont"/>
    <w:link w:val="BalloonText"/>
    <w:uiPriority w:val="99"/>
    <w:semiHidden/>
    <w:rsid w:val="0067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706">
      <w:bodyDiv w:val="1"/>
      <w:marLeft w:val="0"/>
      <w:marRight w:val="0"/>
      <w:marTop w:val="0"/>
      <w:marBottom w:val="0"/>
      <w:divBdr>
        <w:top w:val="none" w:sz="0" w:space="0" w:color="auto"/>
        <w:left w:val="none" w:sz="0" w:space="0" w:color="auto"/>
        <w:bottom w:val="none" w:sz="0" w:space="0" w:color="auto"/>
        <w:right w:val="none" w:sz="0" w:space="0" w:color="auto"/>
      </w:divBdr>
    </w:div>
    <w:div w:id="114518847">
      <w:bodyDiv w:val="1"/>
      <w:marLeft w:val="0"/>
      <w:marRight w:val="0"/>
      <w:marTop w:val="0"/>
      <w:marBottom w:val="0"/>
      <w:divBdr>
        <w:top w:val="none" w:sz="0" w:space="0" w:color="auto"/>
        <w:left w:val="none" w:sz="0" w:space="0" w:color="auto"/>
        <w:bottom w:val="none" w:sz="0" w:space="0" w:color="auto"/>
        <w:right w:val="none" w:sz="0" w:space="0" w:color="auto"/>
      </w:divBdr>
    </w:div>
    <w:div w:id="509375583">
      <w:bodyDiv w:val="1"/>
      <w:marLeft w:val="0"/>
      <w:marRight w:val="0"/>
      <w:marTop w:val="0"/>
      <w:marBottom w:val="0"/>
      <w:divBdr>
        <w:top w:val="none" w:sz="0" w:space="0" w:color="auto"/>
        <w:left w:val="none" w:sz="0" w:space="0" w:color="auto"/>
        <w:bottom w:val="none" w:sz="0" w:space="0" w:color="auto"/>
        <w:right w:val="none" w:sz="0" w:space="0" w:color="auto"/>
      </w:divBdr>
    </w:div>
    <w:div w:id="514465472">
      <w:bodyDiv w:val="1"/>
      <w:marLeft w:val="0"/>
      <w:marRight w:val="0"/>
      <w:marTop w:val="0"/>
      <w:marBottom w:val="0"/>
      <w:divBdr>
        <w:top w:val="none" w:sz="0" w:space="0" w:color="auto"/>
        <w:left w:val="none" w:sz="0" w:space="0" w:color="auto"/>
        <w:bottom w:val="none" w:sz="0" w:space="0" w:color="auto"/>
        <w:right w:val="none" w:sz="0" w:space="0" w:color="auto"/>
      </w:divBdr>
    </w:div>
    <w:div w:id="751585115">
      <w:bodyDiv w:val="1"/>
      <w:marLeft w:val="0"/>
      <w:marRight w:val="0"/>
      <w:marTop w:val="0"/>
      <w:marBottom w:val="0"/>
      <w:divBdr>
        <w:top w:val="none" w:sz="0" w:space="0" w:color="auto"/>
        <w:left w:val="none" w:sz="0" w:space="0" w:color="auto"/>
        <w:bottom w:val="none" w:sz="0" w:space="0" w:color="auto"/>
        <w:right w:val="none" w:sz="0" w:space="0" w:color="auto"/>
      </w:divBdr>
    </w:div>
    <w:div w:id="774330330">
      <w:bodyDiv w:val="1"/>
      <w:marLeft w:val="0"/>
      <w:marRight w:val="0"/>
      <w:marTop w:val="0"/>
      <w:marBottom w:val="0"/>
      <w:divBdr>
        <w:top w:val="none" w:sz="0" w:space="0" w:color="auto"/>
        <w:left w:val="none" w:sz="0" w:space="0" w:color="auto"/>
        <w:bottom w:val="none" w:sz="0" w:space="0" w:color="auto"/>
        <w:right w:val="none" w:sz="0" w:space="0" w:color="auto"/>
      </w:divBdr>
    </w:div>
    <w:div w:id="902375026">
      <w:bodyDiv w:val="1"/>
      <w:marLeft w:val="0"/>
      <w:marRight w:val="0"/>
      <w:marTop w:val="0"/>
      <w:marBottom w:val="0"/>
      <w:divBdr>
        <w:top w:val="none" w:sz="0" w:space="0" w:color="auto"/>
        <w:left w:val="none" w:sz="0" w:space="0" w:color="auto"/>
        <w:bottom w:val="none" w:sz="0" w:space="0" w:color="auto"/>
        <w:right w:val="none" w:sz="0" w:space="0" w:color="auto"/>
      </w:divBdr>
    </w:div>
    <w:div w:id="1014501772">
      <w:bodyDiv w:val="1"/>
      <w:marLeft w:val="0"/>
      <w:marRight w:val="0"/>
      <w:marTop w:val="0"/>
      <w:marBottom w:val="0"/>
      <w:divBdr>
        <w:top w:val="none" w:sz="0" w:space="0" w:color="auto"/>
        <w:left w:val="none" w:sz="0" w:space="0" w:color="auto"/>
        <w:bottom w:val="none" w:sz="0" w:space="0" w:color="auto"/>
        <w:right w:val="none" w:sz="0" w:space="0" w:color="auto"/>
      </w:divBdr>
    </w:div>
    <w:div w:id="1527477569">
      <w:bodyDiv w:val="1"/>
      <w:marLeft w:val="0"/>
      <w:marRight w:val="0"/>
      <w:marTop w:val="0"/>
      <w:marBottom w:val="0"/>
      <w:divBdr>
        <w:top w:val="none" w:sz="0" w:space="0" w:color="auto"/>
        <w:left w:val="none" w:sz="0" w:space="0" w:color="auto"/>
        <w:bottom w:val="none" w:sz="0" w:space="0" w:color="auto"/>
        <w:right w:val="none" w:sz="0" w:space="0" w:color="auto"/>
      </w:divBdr>
    </w:div>
    <w:div w:id="18892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Cindy</dc:creator>
  <cp:keywords/>
  <dc:description/>
  <cp:lastModifiedBy>Stone, Cindy</cp:lastModifiedBy>
  <cp:revision>3</cp:revision>
  <cp:lastPrinted>2014-07-15T13:25:00Z</cp:lastPrinted>
  <dcterms:created xsi:type="dcterms:W3CDTF">2014-07-15T13:24:00Z</dcterms:created>
  <dcterms:modified xsi:type="dcterms:W3CDTF">2014-07-15T13:24:00Z</dcterms:modified>
</cp:coreProperties>
</file>